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A5" w:rsidRDefault="003D61A5" w:rsidP="003D61A5">
      <w:pPr>
        <w:jc w:val="center"/>
        <w:rPr>
          <w:b/>
          <w:sz w:val="32"/>
          <w:szCs w:val="32"/>
        </w:rPr>
      </w:pPr>
      <w:bookmarkStart w:id="0" w:name="_GoBack"/>
      <w:bookmarkEnd w:id="0"/>
      <w:r>
        <w:rPr>
          <w:b/>
          <w:sz w:val="32"/>
          <w:szCs w:val="32"/>
        </w:rPr>
        <w:t>Annex 1: Pilot</w:t>
      </w:r>
      <w:r w:rsidRPr="006F1638">
        <w:rPr>
          <w:b/>
          <w:sz w:val="32"/>
          <w:szCs w:val="32"/>
        </w:rPr>
        <w:t xml:space="preserve"> instrument</w:t>
      </w:r>
      <w:r>
        <w:rPr>
          <w:b/>
          <w:sz w:val="32"/>
          <w:szCs w:val="32"/>
        </w:rPr>
        <w:t xml:space="preserve"> of </w:t>
      </w:r>
      <w:r w:rsidRPr="00F0287F">
        <w:rPr>
          <w:rFonts w:ascii="Times New Roman" w:hAnsi="Times New Roman" w:cs="Times New Roman"/>
          <w:b/>
          <w:sz w:val="28"/>
          <w:szCs w:val="28"/>
        </w:rPr>
        <w:t xml:space="preserve">the UNESCO </w:t>
      </w:r>
      <w:r>
        <w:rPr>
          <w:rFonts w:ascii="Times New Roman" w:hAnsi="Times New Roman" w:cs="Times New Roman"/>
          <w:b/>
          <w:sz w:val="28"/>
          <w:szCs w:val="28"/>
        </w:rPr>
        <w:t xml:space="preserve">General </w:t>
      </w:r>
      <w:r w:rsidRPr="00F0287F">
        <w:rPr>
          <w:rFonts w:ascii="Times New Roman" w:hAnsi="Times New Roman" w:cs="Times New Roman"/>
          <w:b/>
          <w:sz w:val="28"/>
          <w:szCs w:val="28"/>
        </w:rPr>
        <w:t xml:space="preserve">Education Quality </w:t>
      </w:r>
      <w:r>
        <w:rPr>
          <w:rFonts w:ascii="Times New Roman" w:hAnsi="Times New Roman" w:cs="Times New Roman"/>
          <w:b/>
          <w:sz w:val="28"/>
          <w:szCs w:val="28"/>
        </w:rPr>
        <w:t>Analysis/Diagnosis</w:t>
      </w:r>
      <w:r w:rsidRPr="00F0287F">
        <w:rPr>
          <w:rFonts w:ascii="Times New Roman" w:hAnsi="Times New Roman" w:cs="Times New Roman"/>
          <w:b/>
          <w:sz w:val="28"/>
          <w:szCs w:val="28"/>
        </w:rPr>
        <w:t xml:space="preserve"> Framework (</w:t>
      </w:r>
      <w:r>
        <w:rPr>
          <w:rFonts w:ascii="Times New Roman" w:hAnsi="Times New Roman" w:cs="Times New Roman"/>
          <w:b/>
          <w:sz w:val="28"/>
          <w:szCs w:val="28"/>
        </w:rPr>
        <w:t>GE</w:t>
      </w:r>
      <w:r w:rsidRPr="00F0287F">
        <w:rPr>
          <w:rFonts w:ascii="Times New Roman" w:hAnsi="Times New Roman" w:cs="Times New Roman"/>
          <w:b/>
          <w:sz w:val="28"/>
          <w:szCs w:val="28"/>
        </w:rPr>
        <w:t>QAF)</w:t>
      </w:r>
    </w:p>
    <w:p w:rsidR="003D61A5" w:rsidRPr="006F1638" w:rsidRDefault="00C41BC3" w:rsidP="003D61A5">
      <w:pPr>
        <w:rPr>
          <w:b/>
          <w:sz w:val="32"/>
          <w:szCs w:val="32"/>
        </w:rPr>
      </w:pPr>
      <w:r>
        <w:rPr>
          <w:b/>
          <w:sz w:val="32"/>
          <w:szCs w:val="32"/>
        </w:rPr>
        <w:t>Analytic Tool</w:t>
      </w:r>
      <w:r w:rsidR="003D61A5">
        <w:rPr>
          <w:b/>
          <w:sz w:val="32"/>
          <w:szCs w:val="32"/>
        </w:rPr>
        <w:t xml:space="preserve">, </w:t>
      </w:r>
      <w:r w:rsidR="005E43CE">
        <w:rPr>
          <w:b/>
          <w:sz w:val="32"/>
          <w:szCs w:val="32"/>
        </w:rPr>
        <w:t xml:space="preserve">Lifelong learning </w:t>
      </w:r>
    </w:p>
    <w:p w:rsidR="003D61A5" w:rsidRDefault="003D61A5" w:rsidP="00550893">
      <w:pPr>
        <w:jc w:val="both"/>
      </w:pPr>
      <w:r w:rsidRPr="000E5546">
        <w:rPr>
          <w:b/>
          <w:color w:val="4F81BD" w:themeColor="accent1"/>
          <w:sz w:val="24"/>
          <w:szCs w:val="24"/>
        </w:rPr>
        <w:t>Paramount Question:</w:t>
      </w:r>
      <w:r w:rsidRPr="000E5546">
        <w:rPr>
          <w:color w:val="4F81BD" w:themeColor="accent1"/>
          <w:sz w:val="24"/>
          <w:szCs w:val="24"/>
        </w:rPr>
        <w:t xml:space="preserve"> </w:t>
      </w:r>
      <w:r w:rsidR="00347539">
        <w:rPr>
          <w:b/>
          <w:color w:val="4F81BD" w:themeColor="accent1"/>
          <w:sz w:val="24"/>
          <w:szCs w:val="24"/>
        </w:rPr>
        <w:t xml:space="preserve"> </w:t>
      </w:r>
      <w:r w:rsidR="005E43CE" w:rsidRPr="005E43CE">
        <w:rPr>
          <w:b/>
          <w:color w:val="4F81BD" w:themeColor="accent1"/>
          <w:sz w:val="24"/>
          <w:szCs w:val="24"/>
        </w:rPr>
        <w:t>Does our education system develop capabilities for life-long learning and do we provide our citizens effective opportunities for learning throughout their life?</w:t>
      </w:r>
    </w:p>
    <w:tbl>
      <w:tblPr>
        <w:tblStyle w:val="TableGrid"/>
        <w:tblW w:w="0" w:type="auto"/>
        <w:tblLook w:val="04A0" w:firstRow="1" w:lastRow="0" w:firstColumn="1" w:lastColumn="0" w:noHBand="0" w:noVBand="1"/>
      </w:tblPr>
      <w:tblGrid>
        <w:gridCol w:w="3652"/>
        <w:gridCol w:w="5245"/>
        <w:gridCol w:w="3544"/>
      </w:tblGrid>
      <w:tr w:rsidR="003D61A5" w:rsidTr="00F41CAA">
        <w:trPr>
          <w:cantSplit/>
        </w:trPr>
        <w:tc>
          <w:tcPr>
            <w:tcW w:w="3652"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Diagnostic question</w:t>
            </w:r>
          </w:p>
        </w:tc>
        <w:tc>
          <w:tcPr>
            <w:tcW w:w="5245" w:type="dxa"/>
          </w:tcPr>
          <w:p w:rsidR="003D61A5" w:rsidRPr="006110FC" w:rsidRDefault="003D61A5" w:rsidP="00557F0F">
            <w:pPr>
              <w:rPr>
                <w:rFonts w:ascii="Times New Roman" w:hAnsi="Times New Roman" w:cs="Times New Roman"/>
                <w:b/>
                <w:sz w:val="24"/>
                <w:szCs w:val="24"/>
              </w:rPr>
            </w:pPr>
            <w:r>
              <w:rPr>
                <w:rFonts w:ascii="Times New Roman" w:hAnsi="Times New Roman" w:cs="Times New Roman"/>
                <w:b/>
                <w:sz w:val="24"/>
                <w:szCs w:val="24"/>
              </w:rPr>
              <w:t>A brief summary of responses to the diagnostic question from</w:t>
            </w:r>
            <w:r w:rsidRPr="006110FC">
              <w:rPr>
                <w:rFonts w:ascii="Times New Roman" w:hAnsi="Times New Roman" w:cs="Times New Roman"/>
                <w:b/>
                <w:sz w:val="24"/>
                <w:szCs w:val="24"/>
              </w:rPr>
              <w:t xml:space="preserve"> a Team of national education policy makers, planners, managers and experts conducting the diagnosis and analysis </w:t>
            </w:r>
          </w:p>
        </w:tc>
        <w:tc>
          <w:tcPr>
            <w:tcW w:w="3544"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 xml:space="preserve">Priority actions and knowledge gaps identified </w:t>
            </w:r>
            <w:r>
              <w:rPr>
                <w:rFonts w:ascii="Times New Roman" w:hAnsi="Times New Roman" w:cs="Times New Roman"/>
                <w:b/>
                <w:sz w:val="24"/>
                <w:szCs w:val="24"/>
              </w:rPr>
              <w:t>in the process of addressing the diagnostic question</w:t>
            </w:r>
          </w:p>
        </w:tc>
      </w:tr>
      <w:tr w:rsidR="003D61A5" w:rsidRPr="006110FC" w:rsidTr="00F41CAA">
        <w:tc>
          <w:tcPr>
            <w:tcW w:w="12441" w:type="dxa"/>
            <w:gridSpan w:val="3"/>
          </w:tcPr>
          <w:p w:rsidR="005E43CE" w:rsidRPr="005E43CE" w:rsidRDefault="005E43CE" w:rsidP="005E43CE">
            <w:pPr>
              <w:jc w:val="both"/>
              <w:rPr>
                <w:b/>
                <w:color w:val="4F81BD" w:themeColor="accent1"/>
                <w:szCs w:val="24"/>
              </w:rPr>
            </w:pPr>
          </w:p>
          <w:p w:rsidR="003D61A5" w:rsidRPr="005E43CE" w:rsidRDefault="005E43CE" w:rsidP="00F41CAA">
            <w:pPr>
              <w:jc w:val="both"/>
              <w:rPr>
                <w:b/>
                <w:color w:val="4F81BD" w:themeColor="accent1"/>
                <w:szCs w:val="24"/>
              </w:rPr>
            </w:pPr>
            <w:r w:rsidRPr="005E43CE">
              <w:rPr>
                <w:b/>
                <w:color w:val="4F81BD" w:themeColor="accent1"/>
                <w:szCs w:val="24"/>
              </w:rPr>
              <w:t>Developing integrated system of Lifelong Learning</w:t>
            </w:r>
          </w:p>
        </w:tc>
      </w:tr>
      <w:tr w:rsidR="003D61A5" w:rsidTr="005E43CE">
        <w:trPr>
          <w:trHeight w:val="2087"/>
        </w:trPr>
        <w:tc>
          <w:tcPr>
            <w:tcW w:w="3652" w:type="dxa"/>
            <w:shd w:val="clear" w:color="auto" w:fill="auto"/>
          </w:tcPr>
          <w:p w:rsidR="00006FFC" w:rsidRPr="005E43CE" w:rsidRDefault="00006FFC" w:rsidP="005E43CE">
            <w:pPr>
              <w:pStyle w:val="ListParagraph"/>
              <w:spacing w:line="360" w:lineRule="auto"/>
              <w:ind w:left="360"/>
              <w:jc w:val="both"/>
              <w:rPr>
                <w:rFonts w:ascii="Times New Roman" w:eastAsia="MS Mincho" w:hAnsi="Times New Roman" w:cs="Times New Roman"/>
                <w:bCs/>
                <w:sz w:val="20"/>
                <w:szCs w:val="18"/>
              </w:rPr>
            </w:pPr>
          </w:p>
          <w:p w:rsidR="003D61A5" w:rsidRPr="005E43CE" w:rsidRDefault="005E43CE" w:rsidP="005E43CE">
            <w:pPr>
              <w:pStyle w:val="ListParagraph"/>
              <w:numPr>
                <w:ilvl w:val="0"/>
                <w:numId w:val="5"/>
              </w:numPr>
              <w:spacing w:line="360" w:lineRule="auto"/>
              <w:jc w:val="both"/>
              <w:rPr>
                <w:rFonts w:ascii="Times New Roman" w:eastAsia="MS Mincho" w:hAnsi="Times New Roman" w:cs="Times New Roman"/>
                <w:b/>
                <w:bCs/>
                <w:sz w:val="20"/>
                <w:szCs w:val="18"/>
              </w:rPr>
            </w:pPr>
            <w:r w:rsidRPr="005E43CE">
              <w:rPr>
                <w:rFonts w:ascii="Times New Roman" w:eastAsia="MS Mincho" w:hAnsi="Times New Roman" w:cs="Times New Roman"/>
                <w:bCs/>
                <w:sz w:val="20"/>
                <w:szCs w:val="18"/>
              </w:rPr>
              <w:t>How do we effectively embrace lifelong learning as the master concept and guiding principle in the development and reform of general education?</w:t>
            </w:r>
            <w:r w:rsidRPr="005E43CE">
              <w:rPr>
                <w:rFonts w:ascii="Times New Roman" w:eastAsia="MS Mincho" w:hAnsi="Times New Roman" w:cs="Times New Roman"/>
                <w:b/>
                <w:bCs/>
                <w:sz w:val="20"/>
                <w:szCs w:val="18"/>
              </w:rPr>
              <w:t xml:space="preserve">   </w:t>
            </w:r>
          </w:p>
        </w:tc>
        <w:tc>
          <w:tcPr>
            <w:tcW w:w="5245" w:type="dxa"/>
          </w:tcPr>
          <w:p w:rsidR="003D61A5" w:rsidRDefault="003D61A5" w:rsidP="00557F0F"/>
        </w:tc>
        <w:tc>
          <w:tcPr>
            <w:tcW w:w="3544" w:type="dxa"/>
          </w:tcPr>
          <w:p w:rsidR="003D61A5" w:rsidRDefault="003D61A5" w:rsidP="00557F0F"/>
        </w:tc>
      </w:tr>
      <w:tr w:rsidR="003D61A5" w:rsidTr="00F41CAA">
        <w:tc>
          <w:tcPr>
            <w:tcW w:w="3652" w:type="dxa"/>
          </w:tcPr>
          <w:p w:rsidR="00F41CAA" w:rsidRPr="005E43CE" w:rsidRDefault="00F41CAA" w:rsidP="002326BD">
            <w:pPr>
              <w:spacing w:line="360" w:lineRule="auto"/>
              <w:jc w:val="both"/>
              <w:rPr>
                <w:rFonts w:ascii="Times New Roman" w:eastAsia="MS Mincho" w:hAnsi="Times New Roman" w:cs="Times New Roman"/>
                <w:sz w:val="20"/>
                <w:szCs w:val="18"/>
                <w:lang w:val="en-GB"/>
              </w:rPr>
            </w:pPr>
          </w:p>
          <w:p w:rsidR="005E43CE" w:rsidRPr="005E43CE" w:rsidRDefault="005E43CE" w:rsidP="005E43CE">
            <w:pPr>
              <w:pStyle w:val="ListParagraph"/>
              <w:numPr>
                <w:ilvl w:val="0"/>
                <w:numId w:val="5"/>
              </w:numPr>
              <w:spacing w:line="360" w:lineRule="auto"/>
              <w:rPr>
                <w:rFonts w:ascii="Times New Roman" w:eastAsia="MS Mincho" w:hAnsi="Times New Roman" w:cs="Times New Roman"/>
                <w:bCs/>
                <w:sz w:val="20"/>
                <w:szCs w:val="18"/>
              </w:rPr>
            </w:pPr>
            <w:r w:rsidRPr="005E43CE">
              <w:rPr>
                <w:rFonts w:ascii="Times New Roman" w:eastAsia="MS Mincho" w:hAnsi="Times New Roman" w:cs="Times New Roman"/>
                <w:bCs/>
                <w:sz w:val="20"/>
                <w:szCs w:val="18"/>
              </w:rPr>
              <w:t xml:space="preserve">How do we provide opportunities of lifelong learning for all? What evidence do we have for effective uptake of these opportunities? </w:t>
            </w:r>
          </w:p>
          <w:p w:rsidR="003D61A5" w:rsidRPr="00550893" w:rsidRDefault="003D61A5" w:rsidP="002326BD">
            <w:pPr>
              <w:pStyle w:val="Qlevel4"/>
              <w:spacing w:line="360" w:lineRule="auto"/>
              <w:jc w:val="both"/>
              <w:rPr>
                <w:sz w:val="20"/>
                <w:szCs w:val="18"/>
                <w:lang w:val="en-US" w:eastAsia="en-US"/>
              </w:rPr>
            </w:pPr>
          </w:p>
        </w:tc>
        <w:tc>
          <w:tcPr>
            <w:tcW w:w="5245" w:type="dxa"/>
          </w:tcPr>
          <w:p w:rsidR="003D61A5" w:rsidRDefault="003D61A5" w:rsidP="00557F0F"/>
        </w:tc>
        <w:tc>
          <w:tcPr>
            <w:tcW w:w="3544" w:type="dxa"/>
          </w:tcPr>
          <w:p w:rsidR="003D61A5" w:rsidRDefault="003D61A5" w:rsidP="00557F0F"/>
        </w:tc>
      </w:tr>
      <w:tr w:rsidR="00AC5535" w:rsidTr="00F41CAA">
        <w:tc>
          <w:tcPr>
            <w:tcW w:w="3652" w:type="dxa"/>
          </w:tcPr>
          <w:p w:rsidR="00AC5535" w:rsidRPr="00663B73" w:rsidRDefault="00AC5535" w:rsidP="002326BD">
            <w:pPr>
              <w:pStyle w:val="ListParagraph"/>
              <w:spacing w:line="360" w:lineRule="auto"/>
              <w:ind w:left="360"/>
              <w:jc w:val="both"/>
              <w:rPr>
                <w:rFonts w:ascii="Times New Roman" w:eastAsia="MS Mincho" w:hAnsi="Times New Roman" w:cs="Times New Roman"/>
                <w:sz w:val="20"/>
                <w:szCs w:val="18"/>
                <w:lang w:val="en-GB"/>
              </w:rPr>
            </w:pPr>
          </w:p>
          <w:p w:rsidR="005E43CE" w:rsidRPr="005E43CE" w:rsidRDefault="005E43CE" w:rsidP="005E43CE">
            <w:pPr>
              <w:pStyle w:val="ListParagraph"/>
              <w:numPr>
                <w:ilvl w:val="0"/>
                <w:numId w:val="5"/>
              </w:numPr>
              <w:spacing w:line="360" w:lineRule="auto"/>
              <w:jc w:val="both"/>
              <w:rPr>
                <w:rFonts w:ascii="Times New Roman" w:eastAsia="MS Mincho" w:hAnsi="Times New Roman" w:cs="Times New Roman"/>
                <w:bCs/>
                <w:sz w:val="20"/>
                <w:szCs w:val="18"/>
              </w:rPr>
            </w:pPr>
            <w:r w:rsidRPr="005E43CE">
              <w:rPr>
                <w:rFonts w:ascii="Times New Roman" w:eastAsia="MS Mincho" w:hAnsi="Times New Roman" w:cs="Times New Roman"/>
                <w:bCs/>
                <w:sz w:val="20"/>
                <w:szCs w:val="18"/>
              </w:rPr>
              <w:t xml:space="preserve">Where is the evidence of equity of </w:t>
            </w:r>
            <w:r w:rsidRPr="005E43CE">
              <w:rPr>
                <w:rFonts w:ascii="Times New Roman" w:eastAsia="MS Mincho" w:hAnsi="Times New Roman" w:cs="Times New Roman"/>
                <w:bCs/>
                <w:sz w:val="20"/>
                <w:szCs w:val="18"/>
              </w:rPr>
              <w:lastRenderedPageBreak/>
              <w:t xml:space="preserve">these opportunities? What policy has been developed and implemented to ensure that there will be no exclusion in the opportunity for learning? </w:t>
            </w:r>
            <w:r w:rsidRPr="005E43CE">
              <w:rPr>
                <w:rFonts w:ascii="Times New Roman" w:eastAsia="MS Mincho" w:hAnsi="Times New Roman" w:cs="Times New Roman"/>
                <w:b/>
                <w:bCs/>
                <w:sz w:val="20"/>
                <w:szCs w:val="18"/>
              </w:rPr>
              <w:t xml:space="preserve">(link to the </w:t>
            </w:r>
            <w:r w:rsidRPr="005E43CE">
              <w:rPr>
                <w:rFonts w:ascii="Times New Roman" w:eastAsia="MS Mincho" w:hAnsi="Times New Roman" w:cs="Times New Roman"/>
                <w:b/>
                <w:bCs/>
                <w:sz w:val="20"/>
                <w:szCs w:val="18"/>
                <w:lang w:val="en-GB"/>
              </w:rPr>
              <w:t>Analytical Tool</w:t>
            </w:r>
            <w:r w:rsidRPr="005E43CE">
              <w:rPr>
                <w:rFonts w:ascii="Times New Roman" w:eastAsia="MS Mincho" w:hAnsi="Times New Roman" w:cs="Times New Roman"/>
                <w:b/>
                <w:bCs/>
                <w:sz w:val="20"/>
                <w:szCs w:val="18"/>
              </w:rPr>
              <w:t xml:space="preserve"> on Equity and Inclusion)</w:t>
            </w:r>
            <w:r w:rsidRPr="005E43CE">
              <w:rPr>
                <w:rFonts w:ascii="Times New Roman" w:eastAsia="MS Mincho" w:hAnsi="Times New Roman" w:cs="Times New Roman"/>
                <w:bCs/>
                <w:sz w:val="20"/>
                <w:szCs w:val="18"/>
              </w:rPr>
              <w:t xml:space="preserve"> </w:t>
            </w:r>
          </w:p>
          <w:p w:rsidR="00AC5535" w:rsidRPr="00663B73" w:rsidRDefault="00AC5535" w:rsidP="002326BD">
            <w:pPr>
              <w:spacing w:line="360" w:lineRule="auto"/>
              <w:jc w:val="both"/>
              <w:rPr>
                <w:rFonts w:ascii="Times New Roman" w:eastAsia="MS Mincho" w:hAnsi="Times New Roman" w:cs="Times New Roman"/>
                <w:sz w:val="20"/>
                <w:szCs w:val="18"/>
                <w:lang w:val="en-GB"/>
              </w:rPr>
            </w:pPr>
          </w:p>
        </w:tc>
        <w:tc>
          <w:tcPr>
            <w:tcW w:w="5245" w:type="dxa"/>
          </w:tcPr>
          <w:p w:rsidR="00AC5535" w:rsidRDefault="00AC5535" w:rsidP="004603F5"/>
        </w:tc>
        <w:tc>
          <w:tcPr>
            <w:tcW w:w="3544" w:type="dxa"/>
          </w:tcPr>
          <w:p w:rsidR="00AC5535" w:rsidRDefault="00AC5535" w:rsidP="004603F5"/>
        </w:tc>
      </w:tr>
      <w:tr w:rsidR="00AC5535" w:rsidTr="00F41CAA">
        <w:tc>
          <w:tcPr>
            <w:tcW w:w="3652" w:type="dxa"/>
          </w:tcPr>
          <w:p w:rsidR="003B524F" w:rsidRDefault="003B524F" w:rsidP="003B524F">
            <w:pPr>
              <w:pStyle w:val="ListParagraph"/>
              <w:spacing w:line="360" w:lineRule="auto"/>
              <w:ind w:left="360"/>
              <w:rPr>
                <w:rFonts w:ascii="Times New Roman" w:eastAsia="MS Mincho" w:hAnsi="Times New Roman" w:cs="Times New Roman"/>
                <w:b/>
                <w:bCs/>
                <w:sz w:val="20"/>
                <w:szCs w:val="18"/>
              </w:rPr>
            </w:pPr>
          </w:p>
          <w:p w:rsidR="005E43CE" w:rsidRPr="003B524F" w:rsidRDefault="005E43CE" w:rsidP="003B524F">
            <w:pPr>
              <w:pStyle w:val="ListParagraph"/>
              <w:numPr>
                <w:ilvl w:val="0"/>
                <w:numId w:val="5"/>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 xml:space="preserve">Does the education system support flexible learning pathways which enable each learner to choose his/her learning path more freely </w:t>
            </w:r>
            <w:r w:rsidRPr="003B524F">
              <w:rPr>
                <w:rFonts w:ascii="Times New Roman" w:eastAsia="MS Mincho" w:hAnsi="Times New Roman" w:cs="Times New Roman"/>
                <w:b/>
                <w:bCs/>
                <w:sz w:val="20"/>
                <w:szCs w:val="18"/>
              </w:rPr>
              <w:t>(Technical note IV.2)?</w:t>
            </w:r>
            <w:r w:rsidRPr="003B524F">
              <w:rPr>
                <w:rFonts w:ascii="Times New Roman" w:eastAsia="MS Mincho" w:hAnsi="Times New Roman" w:cs="Times New Roman"/>
                <w:bCs/>
                <w:sz w:val="20"/>
                <w:szCs w:val="18"/>
              </w:rPr>
              <w:t xml:space="preserve"> In that way have the artificial barriers between different educational disciplines, courses and levels, and between formal and non-formal learning been abolished, and informal learning has been supported and integrated?      </w:t>
            </w:r>
          </w:p>
          <w:p w:rsidR="00167FCE" w:rsidRPr="00550893" w:rsidRDefault="00167FCE" w:rsidP="002326BD">
            <w:pPr>
              <w:pStyle w:val="ListParagraph"/>
              <w:spacing w:line="360" w:lineRule="auto"/>
              <w:ind w:left="360"/>
              <w:jc w:val="both"/>
              <w:rPr>
                <w:rFonts w:ascii="Times New Roman" w:eastAsia="MS Mincho" w:hAnsi="Times New Roman" w:cs="Times New Roman"/>
                <w:sz w:val="20"/>
                <w:szCs w:val="18"/>
              </w:rPr>
            </w:pPr>
          </w:p>
        </w:tc>
        <w:tc>
          <w:tcPr>
            <w:tcW w:w="5245" w:type="dxa"/>
          </w:tcPr>
          <w:p w:rsidR="00AC5535" w:rsidRDefault="00AC5535" w:rsidP="004603F5"/>
        </w:tc>
        <w:tc>
          <w:tcPr>
            <w:tcW w:w="3544" w:type="dxa"/>
          </w:tcPr>
          <w:p w:rsidR="00AC5535" w:rsidRDefault="00AC5535" w:rsidP="004603F5"/>
        </w:tc>
      </w:tr>
      <w:tr w:rsidR="00AC5535" w:rsidTr="00F41CAA">
        <w:tc>
          <w:tcPr>
            <w:tcW w:w="3652" w:type="dxa"/>
          </w:tcPr>
          <w:p w:rsidR="00AC5535" w:rsidRPr="003B524F" w:rsidRDefault="00AC5535" w:rsidP="003B524F">
            <w:pPr>
              <w:pStyle w:val="ListParagraph"/>
              <w:spacing w:line="360" w:lineRule="auto"/>
              <w:ind w:left="360"/>
              <w:jc w:val="both"/>
              <w:rPr>
                <w:rFonts w:ascii="Times New Roman" w:eastAsia="MS Mincho" w:hAnsi="Times New Roman" w:cs="Times New Roman"/>
                <w:sz w:val="18"/>
                <w:szCs w:val="18"/>
                <w:lang w:val="en-GB"/>
              </w:rPr>
            </w:pPr>
          </w:p>
          <w:p w:rsidR="003B524F" w:rsidRPr="003B524F" w:rsidRDefault="003B524F" w:rsidP="003B524F">
            <w:pPr>
              <w:pStyle w:val="ListParagraph"/>
              <w:numPr>
                <w:ilvl w:val="0"/>
                <w:numId w:val="20"/>
              </w:numPr>
              <w:spacing w:line="360" w:lineRule="auto"/>
              <w:jc w:val="both"/>
              <w:rPr>
                <w:rFonts w:ascii="Times New Roman" w:eastAsia="MS Mincho" w:hAnsi="Times New Roman" w:cs="Times New Roman"/>
                <w:b/>
                <w:bCs/>
                <w:sz w:val="20"/>
                <w:szCs w:val="18"/>
              </w:rPr>
            </w:pPr>
            <w:r w:rsidRPr="003B524F">
              <w:rPr>
                <w:rFonts w:ascii="Times New Roman" w:eastAsia="MS Mincho" w:hAnsi="Times New Roman" w:cs="Times New Roman"/>
                <w:bCs/>
                <w:sz w:val="20"/>
                <w:szCs w:val="18"/>
              </w:rPr>
              <w:t>In what way do we assess and monitor the progress our country has made in lifelong learning?</w:t>
            </w:r>
            <w:r w:rsidRPr="003B524F">
              <w:rPr>
                <w:rFonts w:ascii="Times New Roman" w:eastAsia="MS Mincho" w:hAnsi="Times New Roman" w:cs="Times New Roman"/>
                <w:b/>
                <w:bCs/>
                <w:sz w:val="20"/>
                <w:szCs w:val="18"/>
              </w:rPr>
              <w:t xml:space="preserve"> (Technical Note IV.3)</w:t>
            </w:r>
          </w:p>
          <w:p w:rsidR="00AC5535" w:rsidRPr="00086990" w:rsidRDefault="00AC5535" w:rsidP="002326BD">
            <w:pPr>
              <w:pStyle w:val="ListParagraph"/>
              <w:spacing w:line="360" w:lineRule="auto"/>
              <w:ind w:left="360"/>
              <w:jc w:val="both"/>
              <w:rPr>
                <w:rFonts w:ascii="Times New Roman" w:hAnsi="Times New Roman"/>
              </w:rPr>
            </w:pPr>
          </w:p>
        </w:tc>
        <w:tc>
          <w:tcPr>
            <w:tcW w:w="5245" w:type="dxa"/>
          </w:tcPr>
          <w:p w:rsidR="00AC5535" w:rsidRDefault="00AC5535" w:rsidP="004603F5"/>
        </w:tc>
        <w:tc>
          <w:tcPr>
            <w:tcW w:w="3544" w:type="dxa"/>
          </w:tcPr>
          <w:p w:rsidR="00AC5535" w:rsidRDefault="00AC5535" w:rsidP="004603F5"/>
        </w:tc>
      </w:tr>
      <w:tr w:rsidR="003B524F" w:rsidTr="00CB259D">
        <w:tc>
          <w:tcPr>
            <w:tcW w:w="12441" w:type="dxa"/>
            <w:gridSpan w:val="3"/>
          </w:tcPr>
          <w:p w:rsidR="003B524F" w:rsidRPr="003B524F" w:rsidRDefault="003B524F" w:rsidP="003B524F">
            <w:pPr>
              <w:spacing w:line="360" w:lineRule="auto"/>
              <w:jc w:val="both"/>
              <w:rPr>
                <w:rFonts w:ascii="Times New Roman" w:eastAsia="MS Mincho" w:hAnsi="Times New Roman" w:cs="Times New Roman"/>
                <w:sz w:val="20"/>
                <w:szCs w:val="18"/>
                <w:lang w:val="en-GB"/>
              </w:rPr>
            </w:pPr>
          </w:p>
          <w:p w:rsidR="003B524F" w:rsidRPr="003B524F" w:rsidRDefault="003B524F" w:rsidP="003B524F">
            <w:pPr>
              <w:spacing w:line="360" w:lineRule="auto"/>
              <w:rPr>
                <w:rFonts w:ascii="Times New Roman" w:eastAsia="MS Mincho" w:hAnsi="Times New Roman" w:cs="Times New Roman"/>
                <w:b/>
                <w:bCs/>
                <w:sz w:val="20"/>
                <w:szCs w:val="18"/>
              </w:rPr>
            </w:pPr>
            <w:r w:rsidRPr="003B524F">
              <w:rPr>
                <w:b/>
                <w:color w:val="4F81BD" w:themeColor="accent1"/>
                <w:szCs w:val="24"/>
              </w:rPr>
              <w:t>Vertical integration</w:t>
            </w:r>
          </w:p>
        </w:tc>
      </w:tr>
      <w:tr w:rsidR="00AC5535" w:rsidTr="00167FCE">
        <w:tc>
          <w:tcPr>
            <w:tcW w:w="3652" w:type="dxa"/>
          </w:tcPr>
          <w:p w:rsidR="003B524F" w:rsidRPr="003B524F" w:rsidRDefault="003B524F" w:rsidP="003B524F">
            <w:pPr>
              <w:pStyle w:val="ListParagraph"/>
              <w:numPr>
                <w:ilvl w:val="0"/>
                <w:numId w:val="25"/>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What legislation and policy have been developed to facilitate learning at various developmental stages of life of people (infant, child, adolescent, adult and elderly)?</w:t>
            </w:r>
          </w:p>
          <w:p w:rsidR="00AC5535" w:rsidRPr="00663B73" w:rsidRDefault="00AC5535" w:rsidP="002326BD">
            <w:pPr>
              <w:spacing w:line="360" w:lineRule="auto"/>
              <w:jc w:val="both"/>
              <w:rPr>
                <w:sz w:val="20"/>
              </w:rPr>
            </w:pPr>
          </w:p>
        </w:tc>
        <w:tc>
          <w:tcPr>
            <w:tcW w:w="5245" w:type="dxa"/>
            <w:shd w:val="clear" w:color="auto" w:fill="auto"/>
          </w:tcPr>
          <w:p w:rsidR="00AC5535" w:rsidRDefault="00AC5535" w:rsidP="004603F5"/>
        </w:tc>
        <w:tc>
          <w:tcPr>
            <w:tcW w:w="3544" w:type="dxa"/>
          </w:tcPr>
          <w:p w:rsidR="00AC5535" w:rsidRDefault="00AC5535" w:rsidP="004603F5"/>
        </w:tc>
      </w:tr>
      <w:tr w:rsidR="00AC5535" w:rsidTr="002326BD">
        <w:trPr>
          <w:trHeight w:val="800"/>
        </w:trPr>
        <w:tc>
          <w:tcPr>
            <w:tcW w:w="3652" w:type="dxa"/>
          </w:tcPr>
          <w:p w:rsidR="00550893" w:rsidRPr="003B524F" w:rsidRDefault="00550893" w:rsidP="002326BD">
            <w:pPr>
              <w:pStyle w:val="ListParagraph"/>
              <w:spacing w:line="360" w:lineRule="auto"/>
              <w:ind w:left="360"/>
              <w:jc w:val="both"/>
              <w:rPr>
                <w:rFonts w:ascii="Times New Roman" w:eastAsia="MS Mincho" w:hAnsi="Times New Roman" w:cs="Times New Roman"/>
                <w:bCs/>
                <w:sz w:val="20"/>
                <w:szCs w:val="18"/>
              </w:rPr>
            </w:pPr>
          </w:p>
          <w:p w:rsidR="003B524F" w:rsidRPr="003B524F" w:rsidRDefault="003B524F" w:rsidP="003B524F">
            <w:pPr>
              <w:pStyle w:val="ListParagraph"/>
              <w:numPr>
                <w:ilvl w:val="0"/>
                <w:numId w:val="25"/>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How effectively does the basic education system equip learners with core skills that facilitate learning and sustainable self-educability (link to the Analytical Tools on curriculum, learning, teaching, assessment and competencies)? What evidence do we have?</w:t>
            </w:r>
          </w:p>
          <w:p w:rsidR="00AC5535" w:rsidRPr="003B524F" w:rsidRDefault="00AC5535" w:rsidP="003B524F">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AC5535" w:rsidRDefault="00AC5535" w:rsidP="004603F5"/>
        </w:tc>
        <w:tc>
          <w:tcPr>
            <w:tcW w:w="3544" w:type="dxa"/>
          </w:tcPr>
          <w:p w:rsidR="00AC5535" w:rsidRDefault="00AC5535" w:rsidP="004603F5"/>
        </w:tc>
      </w:tr>
      <w:tr w:rsidR="003B524F" w:rsidTr="003B524F">
        <w:trPr>
          <w:trHeight w:val="800"/>
        </w:trPr>
        <w:tc>
          <w:tcPr>
            <w:tcW w:w="3652" w:type="dxa"/>
          </w:tcPr>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p w:rsidR="003B524F" w:rsidRPr="003B524F" w:rsidRDefault="003B524F" w:rsidP="003B524F">
            <w:pPr>
              <w:pStyle w:val="ListParagraph"/>
              <w:numPr>
                <w:ilvl w:val="0"/>
                <w:numId w:val="25"/>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What mechanisms have been developed to ensure smooth transition between different areas and levels of education (early childhood, primary, secondary, vocational, adult and higher)? Are the mechanisms working properly? What is the evidence?</w:t>
            </w:r>
          </w:p>
        </w:tc>
        <w:tc>
          <w:tcPr>
            <w:tcW w:w="5245" w:type="dxa"/>
          </w:tcPr>
          <w:p w:rsidR="003B524F" w:rsidRDefault="003B524F" w:rsidP="004603F5"/>
        </w:tc>
        <w:tc>
          <w:tcPr>
            <w:tcW w:w="3544" w:type="dxa"/>
          </w:tcPr>
          <w:p w:rsidR="003B524F" w:rsidRDefault="003B524F" w:rsidP="004603F5"/>
        </w:tc>
      </w:tr>
      <w:tr w:rsidR="001D186B" w:rsidTr="003B524F">
        <w:trPr>
          <w:trHeight w:val="800"/>
        </w:trPr>
        <w:tc>
          <w:tcPr>
            <w:tcW w:w="3652" w:type="dxa"/>
          </w:tcPr>
          <w:p w:rsidR="001D186B" w:rsidRPr="001D186B" w:rsidRDefault="001D186B" w:rsidP="001D186B">
            <w:pPr>
              <w:pStyle w:val="ListParagraph"/>
              <w:numPr>
                <w:ilvl w:val="0"/>
                <w:numId w:val="25"/>
              </w:numPr>
              <w:spacing w:line="360" w:lineRule="auto"/>
              <w:jc w:val="both"/>
              <w:rPr>
                <w:rFonts w:ascii="Times New Roman" w:eastAsia="MS Mincho" w:hAnsi="Times New Roman" w:cs="Times New Roman"/>
                <w:bCs/>
                <w:sz w:val="20"/>
                <w:szCs w:val="18"/>
              </w:rPr>
            </w:pPr>
            <w:r w:rsidRPr="001D186B">
              <w:rPr>
                <w:rFonts w:ascii="Times New Roman" w:eastAsia="MS Mincho" w:hAnsi="Times New Roman" w:cs="Times New Roman"/>
                <w:bCs/>
                <w:sz w:val="20"/>
                <w:szCs w:val="18"/>
              </w:rPr>
              <w:lastRenderedPageBreak/>
              <w:t xml:space="preserve">What institutional arrangements do we have to assure diverse, flexible, convenient and relevant provision of learning opportunities throughout life? Where is the evidence of the uptake? </w:t>
            </w:r>
          </w:p>
          <w:p w:rsidR="001D186B" w:rsidRPr="003B524F" w:rsidRDefault="001D186B"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1D186B" w:rsidRDefault="001D186B" w:rsidP="004603F5"/>
        </w:tc>
        <w:tc>
          <w:tcPr>
            <w:tcW w:w="3544" w:type="dxa"/>
          </w:tcPr>
          <w:p w:rsidR="001D186B" w:rsidRDefault="001D186B" w:rsidP="004603F5"/>
        </w:tc>
      </w:tr>
      <w:tr w:rsidR="004751EC" w:rsidTr="000F2FC1">
        <w:trPr>
          <w:trHeight w:val="800"/>
        </w:trPr>
        <w:tc>
          <w:tcPr>
            <w:tcW w:w="12441" w:type="dxa"/>
            <w:gridSpan w:val="3"/>
          </w:tcPr>
          <w:p w:rsidR="004751EC" w:rsidRPr="003B524F" w:rsidRDefault="004751EC" w:rsidP="004603F5">
            <w:pPr>
              <w:pStyle w:val="ListParagraph"/>
              <w:spacing w:line="360" w:lineRule="auto"/>
              <w:ind w:left="360"/>
              <w:jc w:val="both"/>
              <w:rPr>
                <w:rFonts w:ascii="Times New Roman" w:eastAsia="MS Mincho" w:hAnsi="Times New Roman" w:cs="Times New Roman"/>
                <w:bCs/>
                <w:sz w:val="20"/>
                <w:szCs w:val="18"/>
              </w:rPr>
            </w:pPr>
          </w:p>
          <w:p w:rsidR="004751EC" w:rsidRDefault="004751EC" w:rsidP="004751EC">
            <w:pPr>
              <w:spacing w:line="360" w:lineRule="auto"/>
            </w:pPr>
            <w:r w:rsidRPr="004751EC">
              <w:rPr>
                <w:b/>
                <w:color w:val="4F81BD" w:themeColor="accent1"/>
                <w:szCs w:val="24"/>
              </w:rPr>
              <w:t>Horizontal integration</w:t>
            </w:r>
          </w:p>
        </w:tc>
      </w:tr>
      <w:tr w:rsidR="003B524F" w:rsidTr="003B524F">
        <w:trPr>
          <w:trHeight w:val="800"/>
        </w:trPr>
        <w:tc>
          <w:tcPr>
            <w:tcW w:w="3652" w:type="dxa"/>
          </w:tcPr>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p w:rsidR="003B524F" w:rsidRPr="003B524F" w:rsidRDefault="003B524F" w:rsidP="003B524F">
            <w:pPr>
              <w:pStyle w:val="ListParagraph"/>
              <w:numPr>
                <w:ilvl w:val="0"/>
                <w:numId w:val="27"/>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What mechanisms do we have for ensuring mutual reinforcement, transition and even seamlessness across diverse learning pathways? Where is the evidence of this mutual reinforcement, smooth transition and seamlessness?</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3B524F" w:rsidRPr="003B524F" w:rsidRDefault="003B524F" w:rsidP="003B524F">
            <w:pPr>
              <w:spacing w:line="360" w:lineRule="auto"/>
              <w:rPr>
                <w:rFonts w:ascii="Times New Roman" w:eastAsia="MS Mincho" w:hAnsi="Times New Roman" w:cs="Times New Roman"/>
                <w:bCs/>
                <w:sz w:val="20"/>
                <w:szCs w:val="18"/>
              </w:rPr>
            </w:pPr>
          </w:p>
          <w:p w:rsidR="003B524F" w:rsidRPr="003B524F" w:rsidRDefault="003B524F" w:rsidP="003B524F">
            <w:pPr>
              <w:pStyle w:val="ListParagraph"/>
              <w:numPr>
                <w:ilvl w:val="0"/>
                <w:numId w:val="27"/>
              </w:numPr>
              <w:spacing w:line="360" w:lineRule="auto"/>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 xml:space="preserve">What mechanism has been developed to create links and build synergies between learning taking place in formal and non-formal settings? How effective are the mechanisms in terms of recognizing competencies acquired in non-formal and/or informal means </w:t>
            </w:r>
            <w:r w:rsidRPr="003B524F">
              <w:rPr>
                <w:rFonts w:ascii="Times New Roman" w:eastAsia="MS Mincho" w:hAnsi="Times New Roman" w:cs="Times New Roman"/>
                <w:bCs/>
                <w:sz w:val="20"/>
                <w:szCs w:val="18"/>
              </w:rPr>
              <w:lastRenderedPageBreak/>
              <w:t xml:space="preserve">and settings?  </w:t>
            </w:r>
            <w:r w:rsidRPr="003B524F">
              <w:rPr>
                <w:rFonts w:ascii="Times New Roman" w:eastAsia="MS Mincho" w:hAnsi="Times New Roman" w:cs="Times New Roman"/>
                <w:b/>
                <w:bCs/>
                <w:sz w:val="20"/>
                <w:szCs w:val="18"/>
              </w:rPr>
              <w:t>(Technical Note IV.4)</w:t>
            </w:r>
            <w:r w:rsidRPr="003B524F">
              <w:rPr>
                <w:rFonts w:ascii="Times New Roman" w:eastAsia="MS Mincho" w:hAnsi="Times New Roman" w:cs="Times New Roman"/>
                <w:bCs/>
                <w:sz w:val="20"/>
                <w:szCs w:val="18"/>
              </w:rPr>
              <w:t xml:space="preserve">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3B524F" w:rsidRPr="003B524F" w:rsidRDefault="003B524F" w:rsidP="004603F5">
            <w:pPr>
              <w:spacing w:line="360" w:lineRule="auto"/>
              <w:rPr>
                <w:rFonts w:ascii="Times New Roman" w:eastAsia="MS Mincho" w:hAnsi="Times New Roman" w:cs="Times New Roman"/>
                <w:bCs/>
                <w:sz w:val="20"/>
                <w:szCs w:val="18"/>
              </w:rPr>
            </w:pPr>
          </w:p>
          <w:p w:rsidR="003B524F" w:rsidRPr="003B524F" w:rsidRDefault="003B524F" w:rsidP="003B524F">
            <w:pPr>
              <w:pStyle w:val="ListParagraph"/>
              <w:numPr>
                <w:ilvl w:val="0"/>
                <w:numId w:val="27"/>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 xml:space="preserve">What mechanisms have been developed to promote learning in a plurality of learning spaces covering life-wide contexts across family, school, workplace, cultural and community settings? What is the evidence of equitable benefit from learning opportunities in these varied learning settings?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3B524F" w:rsidRPr="003B524F" w:rsidRDefault="003B524F" w:rsidP="003B524F">
            <w:pPr>
              <w:spacing w:line="360" w:lineRule="auto"/>
              <w:jc w:val="both"/>
              <w:rPr>
                <w:rFonts w:ascii="Times New Roman" w:eastAsia="MS Mincho" w:hAnsi="Times New Roman" w:cs="Times New Roman"/>
                <w:bCs/>
                <w:sz w:val="20"/>
                <w:szCs w:val="18"/>
              </w:rPr>
            </w:pPr>
          </w:p>
          <w:p w:rsidR="003B524F" w:rsidRPr="003B524F" w:rsidRDefault="003B524F" w:rsidP="003B524F">
            <w:pPr>
              <w:pStyle w:val="ListParagraph"/>
              <w:numPr>
                <w:ilvl w:val="0"/>
                <w:numId w:val="27"/>
              </w:numPr>
              <w:spacing w:line="360" w:lineRule="auto"/>
              <w:jc w:val="both"/>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 xml:space="preserve">In what way do diverse institutions and channels (museums, libraries, parks, recreational places, cultural organisations, and faith-based organizations, media and ICTs) play role in facilitating lifelong learning?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3B524F" w:rsidRPr="003B524F" w:rsidRDefault="003B524F" w:rsidP="003B524F">
            <w:pPr>
              <w:numPr>
                <w:ilvl w:val="0"/>
                <w:numId w:val="27"/>
              </w:numPr>
              <w:spacing w:line="360" w:lineRule="auto"/>
              <w:rPr>
                <w:rFonts w:ascii="Times New Roman" w:eastAsia="MS Mincho" w:hAnsi="Times New Roman" w:cs="Times New Roman"/>
                <w:bCs/>
                <w:sz w:val="20"/>
                <w:szCs w:val="18"/>
              </w:rPr>
            </w:pPr>
            <w:r w:rsidRPr="003B524F">
              <w:rPr>
                <w:rFonts w:ascii="Times New Roman" w:eastAsia="MS Mincho" w:hAnsi="Times New Roman" w:cs="Times New Roman"/>
                <w:bCs/>
                <w:sz w:val="20"/>
                <w:szCs w:val="18"/>
              </w:rPr>
              <w:t xml:space="preserve">What are the major barriers to lifelong learners and what targeted policy measures have been adopted to overcome them? Is there evidence that these targeted measures have </w:t>
            </w:r>
            <w:r w:rsidRPr="003B524F">
              <w:rPr>
                <w:rFonts w:ascii="Times New Roman" w:eastAsia="MS Mincho" w:hAnsi="Times New Roman" w:cs="Times New Roman"/>
                <w:bCs/>
                <w:sz w:val="20"/>
                <w:szCs w:val="18"/>
              </w:rPr>
              <w:lastRenderedPageBreak/>
              <w:t xml:space="preserve">been effective?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B524F" w:rsidRDefault="003B524F" w:rsidP="004603F5"/>
        </w:tc>
        <w:tc>
          <w:tcPr>
            <w:tcW w:w="3544" w:type="dxa"/>
          </w:tcPr>
          <w:p w:rsidR="003B524F" w:rsidRDefault="003B524F" w:rsidP="004603F5"/>
        </w:tc>
      </w:tr>
      <w:tr w:rsidR="003B524F" w:rsidTr="009B38D7">
        <w:trPr>
          <w:trHeight w:val="800"/>
        </w:trPr>
        <w:tc>
          <w:tcPr>
            <w:tcW w:w="12441" w:type="dxa"/>
            <w:gridSpan w:val="3"/>
          </w:tcPr>
          <w:p w:rsidR="003B524F" w:rsidRPr="003B524F" w:rsidRDefault="003B524F" w:rsidP="004603F5">
            <w:pPr>
              <w:spacing w:line="360" w:lineRule="auto"/>
              <w:rPr>
                <w:rFonts w:ascii="Times New Roman" w:eastAsia="MS Mincho" w:hAnsi="Times New Roman" w:cs="Times New Roman"/>
                <w:bCs/>
                <w:sz w:val="20"/>
                <w:szCs w:val="18"/>
              </w:rPr>
            </w:pPr>
          </w:p>
          <w:p w:rsidR="003B524F" w:rsidRPr="003B524F" w:rsidRDefault="003B524F" w:rsidP="003B524F">
            <w:pPr>
              <w:spacing w:line="360" w:lineRule="auto"/>
              <w:rPr>
                <w:rFonts w:ascii="Times New Roman" w:eastAsia="MS Mincho" w:hAnsi="Times New Roman" w:cs="Times New Roman"/>
                <w:b/>
                <w:bCs/>
                <w:sz w:val="20"/>
                <w:szCs w:val="18"/>
              </w:rPr>
            </w:pPr>
            <w:r w:rsidRPr="004751EC">
              <w:rPr>
                <w:b/>
                <w:color w:val="4F81BD" w:themeColor="accent1"/>
                <w:szCs w:val="24"/>
              </w:rPr>
              <w:t>Developing enabling learning environments</w:t>
            </w:r>
          </w:p>
        </w:tc>
      </w:tr>
      <w:tr w:rsidR="003B524F" w:rsidTr="004603F5">
        <w:trPr>
          <w:trHeight w:val="800"/>
        </w:trPr>
        <w:tc>
          <w:tcPr>
            <w:tcW w:w="3652" w:type="dxa"/>
          </w:tcPr>
          <w:p w:rsidR="003B524F" w:rsidRPr="003B524F" w:rsidRDefault="003B524F" w:rsidP="003B524F">
            <w:pPr>
              <w:numPr>
                <w:ilvl w:val="0"/>
                <w:numId w:val="29"/>
              </w:numPr>
              <w:spacing w:line="360" w:lineRule="auto"/>
              <w:rPr>
                <w:rFonts w:ascii="Times New Roman" w:eastAsia="MS Mincho" w:hAnsi="Times New Roman" w:cs="Times New Roman"/>
                <w:bCs/>
                <w:sz w:val="20"/>
                <w:szCs w:val="18"/>
                <w:lang w:val="en-GB"/>
              </w:rPr>
            </w:pPr>
            <w:r w:rsidRPr="003B524F">
              <w:rPr>
                <w:rFonts w:ascii="Times New Roman" w:eastAsia="MS Mincho" w:hAnsi="Times New Roman" w:cs="Times New Roman"/>
                <w:bCs/>
                <w:sz w:val="20"/>
                <w:szCs w:val="18"/>
                <w:lang w:val="en-GB"/>
              </w:rPr>
              <w:t xml:space="preserve">What measures are being taken by villages, communities, cities and regions in our country to encourage individual citizens to become lifelong learners? </w:t>
            </w:r>
            <w:r w:rsidRPr="003B524F">
              <w:rPr>
                <w:rFonts w:ascii="Times New Roman" w:eastAsia="MS Mincho" w:hAnsi="Times New Roman" w:cs="Times New Roman"/>
                <w:b/>
                <w:bCs/>
                <w:sz w:val="20"/>
                <w:szCs w:val="18"/>
                <w:lang w:val="en-GB"/>
              </w:rPr>
              <w:t>(Technical Note IV.5)</w:t>
            </w:r>
            <w:r w:rsidRPr="003B524F">
              <w:rPr>
                <w:rFonts w:ascii="Times New Roman" w:eastAsia="MS Mincho" w:hAnsi="Times New Roman" w:cs="Times New Roman"/>
                <w:bCs/>
                <w:sz w:val="20"/>
                <w:szCs w:val="18"/>
                <w:lang w:val="en-GB"/>
              </w:rPr>
              <w:t xml:space="preserve"> What are the lessons learned from those efforts?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lang w:val="en-GB"/>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3B524F" w:rsidRPr="003B524F" w:rsidRDefault="003B524F" w:rsidP="004751EC">
            <w:pPr>
              <w:numPr>
                <w:ilvl w:val="0"/>
                <w:numId w:val="29"/>
              </w:numPr>
              <w:spacing w:line="360" w:lineRule="auto"/>
              <w:jc w:val="both"/>
              <w:rPr>
                <w:rFonts w:ascii="Times New Roman" w:eastAsia="MS Mincho" w:hAnsi="Times New Roman" w:cs="Times New Roman"/>
                <w:bCs/>
                <w:sz w:val="20"/>
                <w:szCs w:val="18"/>
                <w:lang w:val="en-GB"/>
              </w:rPr>
            </w:pPr>
            <w:r w:rsidRPr="003B524F">
              <w:rPr>
                <w:rFonts w:ascii="Times New Roman" w:eastAsia="MS Mincho" w:hAnsi="Times New Roman" w:cs="Times New Roman"/>
                <w:bCs/>
                <w:sz w:val="20"/>
                <w:szCs w:val="18"/>
                <w:lang w:val="en-GB"/>
              </w:rPr>
              <w:t xml:space="preserve">What mandate have media received from the government to play a major role in informing on and opening up learning opportunities? What policy and strategies have been developed and implemented in exploiting the potential of media in providing lifelong learning opportunities? What is the evidence that media is playing that role?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lang w:val="en-GB"/>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4751EC" w:rsidRPr="004751EC" w:rsidRDefault="004751EC" w:rsidP="004751EC">
            <w:pPr>
              <w:numPr>
                <w:ilvl w:val="0"/>
                <w:numId w:val="29"/>
              </w:numPr>
              <w:spacing w:line="360" w:lineRule="auto"/>
              <w:jc w:val="both"/>
              <w:rPr>
                <w:rFonts w:ascii="Times New Roman" w:eastAsia="MS Mincho" w:hAnsi="Times New Roman" w:cs="Times New Roman"/>
                <w:bCs/>
                <w:sz w:val="20"/>
                <w:szCs w:val="18"/>
                <w:lang w:val="en-GB"/>
              </w:rPr>
            </w:pPr>
            <w:r w:rsidRPr="004751EC">
              <w:rPr>
                <w:rFonts w:ascii="Times New Roman" w:eastAsia="MS Mincho" w:hAnsi="Times New Roman" w:cs="Times New Roman"/>
                <w:bCs/>
                <w:sz w:val="20"/>
                <w:szCs w:val="18"/>
                <w:lang w:val="en-GB"/>
              </w:rPr>
              <w:t xml:space="preserve">What specific measures have been taken in ensuring the quality of open and distance learning? How effective </w:t>
            </w:r>
            <w:r w:rsidRPr="004751EC">
              <w:rPr>
                <w:rFonts w:ascii="Times New Roman" w:eastAsia="MS Mincho" w:hAnsi="Times New Roman" w:cs="Times New Roman"/>
                <w:bCs/>
                <w:sz w:val="20"/>
                <w:szCs w:val="18"/>
                <w:lang w:val="en-GB"/>
              </w:rPr>
              <w:lastRenderedPageBreak/>
              <w:t xml:space="preserve">are those measures? Have ICT been effectively integrated into formal, non-formal education and informal learning? </w:t>
            </w:r>
          </w:p>
          <w:p w:rsidR="003B524F" w:rsidRPr="004751EC" w:rsidRDefault="003B524F" w:rsidP="004603F5">
            <w:pPr>
              <w:pStyle w:val="ListParagraph"/>
              <w:spacing w:line="360" w:lineRule="auto"/>
              <w:ind w:left="360"/>
              <w:jc w:val="both"/>
              <w:rPr>
                <w:rFonts w:ascii="Times New Roman" w:eastAsia="MS Mincho" w:hAnsi="Times New Roman" w:cs="Times New Roman"/>
                <w:bCs/>
                <w:sz w:val="20"/>
                <w:szCs w:val="18"/>
                <w:lang w:val="en-GB"/>
              </w:rPr>
            </w:pPr>
          </w:p>
        </w:tc>
        <w:tc>
          <w:tcPr>
            <w:tcW w:w="5245" w:type="dxa"/>
          </w:tcPr>
          <w:p w:rsidR="003B524F" w:rsidRDefault="003B524F" w:rsidP="004603F5"/>
        </w:tc>
        <w:tc>
          <w:tcPr>
            <w:tcW w:w="3544" w:type="dxa"/>
          </w:tcPr>
          <w:p w:rsidR="003B524F" w:rsidRDefault="003B524F" w:rsidP="004603F5"/>
        </w:tc>
      </w:tr>
      <w:tr w:rsidR="003B524F" w:rsidTr="003B524F">
        <w:trPr>
          <w:trHeight w:val="800"/>
        </w:trPr>
        <w:tc>
          <w:tcPr>
            <w:tcW w:w="3652" w:type="dxa"/>
          </w:tcPr>
          <w:p w:rsidR="004751EC" w:rsidRPr="004751EC" w:rsidRDefault="004751EC" w:rsidP="004751EC">
            <w:pPr>
              <w:numPr>
                <w:ilvl w:val="0"/>
                <w:numId w:val="29"/>
              </w:numPr>
              <w:spacing w:line="360" w:lineRule="auto"/>
              <w:jc w:val="both"/>
              <w:rPr>
                <w:rFonts w:ascii="Times New Roman" w:eastAsia="MS Mincho" w:hAnsi="Times New Roman" w:cs="Times New Roman"/>
                <w:bCs/>
                <w:sz w:val="20"/>
                <w:szCs w:val="18"/>
                <w:lang w:val="en-GB"/>
              </w:rPr>
            </w:pPr>
            <w:r w:rsidRPr="004751EC">
              <w:rPr>
                <w:rFonts w:ascii="Times New Roman" w:eastAsia="MS Mincho" w:hAnsi="Times New Roman" w:cs="Times New Roman"/>
                <w:bCs/>
                <w:sz w:val="20"/>
                <w:szCs w:val="18"/>
                <w:lang w:val="en-GB"/>
              </w:rPr>
              <w:lastRenderedPageBreak/>
              <w:t xml:space="preserve">What activities and programmes such as learners’ weeks and learning festivals have been organized to motivate and mobilize learners or potential learners? How effective are these programmes and activities? </w:t>
            </w:r>
          </w:p>
          <w:p w:rsidR="003B524F" w:rsidRPr="003B524F" w:rsidRDefault="003B524F" w:rsidP="004603F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B524F" w:rsidRDefault="003B524F" w:rsidP="004603F5"/>
        </w:tc>
        <w:tc>
          <w:tcPr>
            <w:tcW w:w="3544" w:type="dxa"/>
          </w:tcPr>
          <w:p w:rsidR="003B524F" w:rsidRDefault="003B524F" w:rsidP="004603F5"/>
        </w:tc>
      </w:tr>
    </w:tbl>
    <w:p w:rsidR="003B524F" w:rsidRDefault="003B524F" w:rsidP="003D61A5">
      <w:pPr>
        <w:jc w:val="both"/>
        <w:rPr>
          <w:rFonts w:ascii="Times New Roman" w:hAnsi="Times New Roman" w:cs="Times New Roman"/>
          <w:sz w:val="24"/>
          <w:szCs w:val="24"/>
        </w:rPr>
      </w:pPr>
    </w:p>
    <w:p w:rsidR="003D61A5" w:rsidRDefault="003D61A5" w:rsidP="003D61A5">
      <w:pPr>
        <w:jc w:val="both"/>
        <w:rPr>
          <w:rFonts w:ascii="Times New Roman" w:hAnsi="Times New Roman" w:cs="Times New Roman"/>
          <w:sz w:val="24"/>
          <w:szCs w:val="24"/>
        </w:rPr>
      </w:pPr>
      <w:r w:rsidRPr="005E6923">
        <w:rPr>
          <w:rFonts w:ascii="Times New Roman" w:hAnsi="Times New Roman" w:cs="Times New Roman"/>
          <w:sz w:val="24"/>
          <w:szCs w:val="24"/>
        </w:rPr>
        <w:t>The diagnosis and analysis above should culminate into identifying critical problems requiring urgent attention and the necessary information and knowledge for addressing them. It is also necessary to clearly formulate action plan and clear identification of roles and responsibilities and timelines as well as required human, financial and organizational resources which the action plan might entail. At this stage it is a question of prioritizing the priorities and knowledge gaps identified in the right most</w:t>
      </w:r>
      <w:r w:rsidR="00995B61">
        <w:rPr>
          <w:rFonts w:ascii="Times New Roman" w:hAnsi="Times New Roman" w:cs="Times New Roman"/>
          <w:sz w:val="24"/>
          <w:szCs w:val="24"/>
        </w:rPr>
        <w:t xml:space="preserve"> </w:t>
      </w:r>
      <w:r w:rsidR="00C41BC3">
        <w:rPr>
          <w:rFonts w:ascii="Times New Roman" w:hAnsi="Times New Roman" w:cs="Times New Roman"/>
          <w:sz w:val="24"/>
          <w:szCs w:val="24"/>
        </w:rPr>
        <w:t>column</w:t>
      </w:r>
      <w:r w:rsidRPr="005E6923">
        <w:rPr>
          <w:rFonts w:ascii="Times New Roman" w:hAnsi="Times New Roman" w:cs="Times New Roman"/>
          <w:sz w:val="24"/>
          <w:szCs w:val="24"/>
        </w:rPr>
        <w:t xml:space="preserve"> of the table above to focus action on those areas severely hampering progress.</w:t>
      </w:r>
    </w:p>
    <w:p w:rsidR="00663B73" w:rsidRPr="005E6923" w:rsidRDefault="00663B73" w:rsidP="003D61A5">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61"/>
        <w:gridCol w:w="8815"/>
      </w:tblGrid>
      <w:tr w:rsidR="003D61A5" w:rsidRPr="006110FC" w:rsidTr="00557F0F">
        <w:tc>
          <w:tcPr>
            <w:tcW w:w="13176" w:type="dxa"/>
            <w:gridSpan w:val="2"/>
          </w:tcPr>
          <w:p w:rsidR="003D61A5" w:rsidRPr="000E5546" w:rsidRDefault="00C41BC3" w:rsidP="00557F0F">
            <w:pPr>
              <w:pStyle w:val="ListParagraph"/>
              <w:spacing w:line="36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Priorities for action (</w:t>
            </w:r>
            <w:r w:rsidR="004751EC">
              <w:rPr>
                <w:rFonts w:ascii="Times New Roman" w:hAnsi="Times New Roman" w:cs="Times New Roman"/>
                <w:b/>
                <w:color w:val="4F81BD" w:themeColor="accent1"/>
                <w:sz w:val="24"/>
                <w:szCs w:val="24"/>
              </w:rPr>
              <w:t>Lifelong learning</w:t>
            </w:r>
            <w:r>
              <w:rPr>
                <w:rFonts w:ascii="Times New Roman" w:hAnsi="Times New Roman" w:cs="Times New Roman"/>
                <w:b/>
                <w:color w:val="4F81BD" w:themeColor="accent1"/>
                <w:sz w:val="24"/>
                <w:szCs w:val="24"/>
              </w:rPr>
              <w:t>)</w:t>
            </w:r>
          </w:p>
          <w:p w:rsidR="003D61A5" w:rsidRPr="006110FC" w:rsidRDefault="003D61A5" w:rsidP="00557F0F">
            <w:pPr>
              <w:rPr>
                <w:sz w:val="18"/>
                <w:szCs w:val="18"/>
              </w:rPr>
            </w:pPr>
          </w:p>
        </w:tc>
      </w:tr>
      <w:tr w:rsidR="003D61A5" w:rsidRPr="006110FC" w:rsidTr="00557F0F">
        <w:tc>
          <w:tcPr>
            <w:tcW w:w="4361" w:type="dxa"/>
          </w:tcPr>
          <w:p w:rsidR="00663B73" w:rsidRPr="00663B73" w:rsidRDefault="00663B73" w:rsidP="00167FCE">
            <w:pPr>
              <w:pStyle w:val="ListParagraph"/>
              <w:spacing w:line="360" w:lineRule="auto"/>
              <w:ind w:left="360"/>
              <w:jc w:val="both"/>
              <w:rPr>
                <w:rFonts w:ascii="Times New Roman" w:eastAsia="MS Mincho" w:hAnsi="Times New Roman" w:cs="Times New Roman"/>
                <w:sz w:val="20"/>
                <w:szCs w:val="18"/>
                <w:lang w:val="en-GB"/>
              </w:rPr>
            </w:pPr>
          </w:p>
          <w:p w:rsidR="00200EC4" w:rsidRPr="00200EC4" w:rsidRDefault="00200EC4" w:rsidP="00200EC4">
            <w:pPr>
              <w:pStyle w:val="ListParagraph"/>
              <w:numPr>
                <w:ilvl w:val="0"/>
                <w:numId w:val="13"/>
              </w:numPr>
              <w:spacing w:line="360" w:lineRule="auto"/>
              <w:rPr>
                <w:rFonts w:ascii="Times New Roman" w:eastAsia="MS Mincho" w:hAnsi="Times New Roman" w:cs="Times New Roman"/>
                <w:sz w:val="20"/>
                <w:szCs w:val="18"/>
              </w:rPr>
            </w:pPr>
            <w:r w:rsidRPr="00200EC4">
              <w:rPr>
                <w:rFonts w:ascii="Times New Roman" w:eastAsia="MS Mincho" w:hAnsi="Times New Roman" w:cs="Times New Roman"/>
                <w:sz w:val="20"/>
                <w:szCs w:val="18"/>
              </w:rPr>
              <w:t xml:space="preserve">What are the key areas to be addressed urgently to further develop an integrated system for lifelong learning for progress </w:t>
            </w:r>
            <w:r w:rsidRPr="00200EC4">
              <w:rPr>
                <w:rFonts w:ascii="Times New Roman" w:eastAsia="MS Mincho" w:hAnsi="Times New Roman" w:cs="Times New Roman"/>
                <w:sz w:val="20"/>
                <w:szCs w:val="18"/>
              </w:rPr>
              <w:lastRenderedPageBreak/>
              <w:t>towards a learning society?</w:t>
            </w:r>
          </w:p>
          <w:p w:rsidR="003D61A5" w:rsidRPr="00425E16" w:rsidRDefault="003D61A5" w:rsidP="00663B73">
            <w:pPr>
              <w:spacing w:line="360" w:lineRule="auto"/>
              <w:ind w:left="360"/>
              <w:jc w:val="both"/>
              <w:rPr>
                <w:rFonts w:ascii="Times New Roman" w:eastAsia="MS Mincho" w:hAnsi="Times New Roman" w:cs="Times New Roman"/>
                <w:sz w:val="20"/>
                <w:szCs w:val="18"/>
              </w:rPr>
            </w:pPr>
          </w:p>
        </w:tc>
        <w:tc>
          <w:tcPr>
            <w:tcW w:w="8815" w:type="dxa"/>
          </w:tcPr>
          <w:p w:rsidR="003D61A5" w:rsidRPr="006110FC" w:rsidRDefault="003D61A5" w:rsidP="00557F0F">
            <w:pPr>
              <w:rPr>
                <w:sz w:val="18"/>
                <w:szCs w:val="18"/>
              </w:rPr>
            </w:pPr>
          </w:p>
        </w:tc>
      </w:tr>
      <w:tr w:rsidR="003D61A5" w:rsidRPr="006110FC" w:rsidTr="0098434F">
        <w:trPr>
          <w:trHeight w:val="440"/>
        </w:trPr>
        <w:tc>
          <w:tcPr>
            <w:tcW w:w="4361" w:type="dxa"/>
          </w:tcPr>
          <w:p w:rsidR="00200EC4" w:rsidRPr="00200EC4" w:rsidRDefault="00200EC4" w:rsidP="00200EC4">
            <w:pPr>
              <w:pStyle w:val="ListParagraph"/>
              <w:numPr>
                <w:ilvl w:val="0"/>
                <w:numId w:val="13"/>
              </w:numPr>
              <w:spacing w:line="360" w:lineRule="auto"/>
              <w:rPr>
                <w:rFonts w:ascii="Times New Roman" w:eastAsia="MS Mincho" w:hAnsi="Times New Roman" w:cs="Times New Roman"/>
                <w:sz w:val="20"/>
                <w:szCs w:val="18"/>
              </w:rPr>
            </w:pPr>
            <w:r w:rsidRPr="00200EC4">
              <w:rPr>
                <w:rFonts w:ascii="Times New Roman" w:eastAsia="MS Mincho" w:hAnsi="Times New Roman" w:cs="Times New Roman"/>
                <w:sz w:val="20"/>
                <w:szCs w:val="18"/>
              </w:rPr>
              <w:lastRenderedPageBreak/>
              <w:t>What are the knowledge gaps which need to be filled for an evidence-based policy on the provision of opportunities and conditions for lifelong learning?</w:t>
            </w:r>
          </w:p>
          <w:p w:rsidR="00167FCE" w:rsidRPr="00200EC4" w:rsidRDefault="00167FCE" w:rsidP="00167FCE">
            <w:pPr>
              <w:pStyle w:val="ListParagraph"/>
              <w:spacing w:line="360" w:lineRule="auto"/>
              <w:ind w:left="360"/>
              <w:jc w:val="both"/>
              <w:rPr>
                <w:rFonts w:ascii="Times New Roman" w:eastAsia="MS Mincho" w:hAnsi="Times New Roman" w:cs="Times New Roman"/>
                <w:sz w:val="20"/>
                <w:szCs w:val="18"/>
              </w:rPr>
            </w:pPr>
          </w:p>
          <w:p w:rsidR="003D61A5" w:rsidRPr="00663B73" w:rsidRDefault="003D61A5" w:rsidP="00663B73">
            <w:pPr>
              <w:pStyle w:val="ListParagraph"/>
              <w:spacing w:line="360" w:lineRule="auto"/>
              <w:jc w:val="both"/>
              <w:rPr>
                <w:rFonts w:ascii="Times New Roman" w:eastAsia="MS Mincho" w:hAnsi="Times New Roman" w:cs="Times New Roman"/>
                <w:sz w:val="20"/>
                <w:szCs w:val="18"/>
                <w:lang w:val="en-GB"/>
              </w:rPr>
            </w:pPr>
          </w:p>
        </w:tc>
        <w:tc>
          <w:tcPr>
            <w:tcW w:w="8815" w:type="dxa"/>
          </w:tcPr>
          <w:p w:rsidR="003D61A5" w:rsidRPr="006110FC" w:rsidRDefault="003D61A5" w:rsidP="00557F0F">
            <w:pPr>
              <w:rPr>
                <w:sz w:val="18"/>
                <w:szCs w:val="18"/>
              </w:rPr>
            </w:pPr>
          </w:p>
        </w:tc>
      </w:tr>
      <w:tr w:rsidR="00425E16" w:rsidRPr="006110FC" w:rsidTr="00425E16">
        <w:tc>
          <w:tcPr>
            <w:tcW w:w="4361" w:type="dxa"/>
          </w:tcPr>
          <w:p w:rsidR="00425E16" w:rsidRPr="00200EC4" w:rsidRDefault="00200EC4" w:rsidP="00200EC4">
            <w:pPr>
              <w:pStyle w:val="ListParagraph"/>
              <w:numPr>
                <w:ilvl w:val="0"/>
                <w:numId w:val="13"/>
              </w:numPr>
              <w:spacing w:line="360" w:lineRule="auto"/>
              <w:rPr>
                <w:rFonts w:ascii="Times New Roman" w:eastAsia="MS Mincho" w:hAnsi="Times New Roman" w:cs="Times New Roman"/>
                <w:bCs/>
                <w:sz w:val="20"/>
                <w:szCs w:val="18"/>
              </w:rPr>
            </w:pPr>
            <w:r w:rsidRPr="00200EC4">
              <w:rPr>
                <w:rFonts w:ascii="Times New Roman" w:eastAsia="MS Mincho" w:hAnsi="Times New Roman" w:cs="Times New Roman"/>
                <w:bCs/>
                <w:sz w:val="20"/>
                <w:szCs w:val="18"/>
              </w:rPr>
              <w:t>What are the required actions to deal with the priority constraints and the identified knowledge gaps?</w:t>
            </w:r>
          </w:p>
        </w:tc>
        <w:tc>
          <w:tcPr>
            <w:tcW w:w="8815" w:type="dxa"/>
          </w:tcPr>
          <w:p w:rsidR="00425E16" w:rsidRPr="006110FC" w:rsidRDefault="00425E16" w:rsidP="004603F5">
            <w:pPr>
              <w:rPr>
                <w:sz w:val="18"/>
                <w:szCs w:val="18"/>
              </w:rPr>
            </w:pPr>
          </w:p>
        </w:tc>
      </w:tr>
    </w:tbl>
    <w:p w:rsidR="003D61A5" w:rsidRDefault="003D61A5" w:rsidP="003D61A5">
      <w:pPr>
        <w:jc w:val="center"/>
        <w:rPr>
          <w:rFonts w:ascii="Times New Roman" w:hAnsi="Times New Roman" w:cs="Times New Roman"/>
          <w:b/>
          <w:sz w:val="24"/>
          <w:szCs w:val="24"/>
        </w:rPr>
      </w:pPr>
      <w:r>
        <w:rPr>
          <w:rFonts w:ascii="Times New Roman" w:hAnsi="Times New Roman" w:cs="Times New Roman"/>
          <w:b/>
          <w:sz w:val="24"/>
          <w:szCs w:val="24"/>
        </w:rPr>
        <w:br w:type="page"/>
      </w:r>
      <w:r w:rsidRPr="00512CB2">
        <w:rPr>
          <w:rFonts w:ascii="Times New Roman" w:hAnsi="Times New Roman" w:cs="Times New Roman"/>
          <w:b/>
          <w:sz w:val="24"/>
          <w:szCs w:val="24"/>
        </w:rPr>
        <w:lastRenderedPageBreak/>
        <w:t xml:space="preserve">Annex 2: Format for feedback on the piloting of the </w:t>
      </w:r>
      <w:r>
        <w:rPr>
          <w:rFonts w:ascii="Times New Roman" w:hAnsi="Times New Roman" w:cs="Times New Roman"/>
          <w:b/>
          <w:sz w:val="24"/>
          <w:szCs w:val="24"/>
        </w:rPr>
        <w:t>individual</w:t>
      </w:r>
      <w:r w:rsidR="00995B61">
        <w:rPr>
          <w:rFonts w:ascii="Times New Roman" w:hAnsi="Times New Roman" w:cs="Times New Roman"/>
          <w:b/>
          <w:sz w:val="24"/>
          <w:szCs w:val="24"/>
        </w:rPr>
        <w:t xml:space="preserve"> </w:t>
      </w:r>
      <w:r w:rsidR="00C41BC3">
        <w:rPr>
          <w:rFonts w:ascii="Times New Roman" w:hAnsi="Times New Roman" w:cs="Times New Roman"/>
          <w:b/>
          <w:sz w:val="24"/>
          <w:szCs w:val="24"/>
        </w:rPr>
        <w:t xml:space="preserve">Analytic </w:t>
      </w:r>
      <w:r w:rsidR="00995B61">
        <w:rPr>
          <w:rFonts w:ascii="Times New Roman" w:hAnsi="Times New Roman" w:cs="Times New Roman"/>
          <w:b/>
          <w:sz w:val="24"/>
          <w:szCs w:val="24"/>
        </w:rPr>
        <w:t>Tool</w:t>
      </w:r>
      <w:r>
        <w:rPr>
          <w:rFonts w:ascii="Times New Roman" w:hAnsi="Times New Roman" w:cs="Times New Roman"/>
          <w:b/>
          <w:sz w:val="24"/>
          <w:szCs w:val="24"/>
        </w:rPr>
        <w:t xml:space="preserve"> of GEQAF</w:t>
      </w:r>
    </w:p>
    <w:p w:rsidR="003D61A5" w:rsidRDefault="003D61A5" w:rsidP="003D61A5">
      <w:pPr>
        <w:spacing w:line="360" w:lineRule="auto"/>
        <w:rPr>
          <w:rFonts w:ascii="Times New Roman" w:hAnsi="Times New Roman" w:cs="Times New Roman"/>
          <w:b/>
          <w:i/>
        </w:rPr>
      </w:pPr>
    </w:p>
    <w:p w:rsidR="003D61A5" w:rsidRPr="00064A72" w:rsidRDefault="003D61A5" w:rsidP="003D61A5">
      <w:pPr>
        <w:spacing w:line="360" w:lineRule="auto"/>
        <w:rPr>
          <w:rFonts w:ascii="Times New Roman" w:hAnsi="Times New Roman" w:cs="Times New Roman"/>
          <w:b/>
          <w:i/>
        </w:rPr>
      </w:pPr>
      <w:r w:rsidRPr="00064A72">
        <w:rPr>
          <w:rFonts w:ascii="Times New Roman" w:hAnsi="Times New Roman" w:cs="Times New Roman"/>
          <w:b/>
          <w:i/>
        </w:rPr>
        <w:t xml:space="preserve">To be completed at the end of the discussion of </w:t>
      </w:r>
      <w:r w:rsidRPr="00557F0F">
        <w:rPr>
          <w:rFonts w:ascii="Times New Roman" w:hAnsi="Times New Roman" w:cs="Times New Roman"/>
          <w:b/>
          <w:i/>
          <w:u w:val="single"/>
        </w:rPr>
        <w:t>each</w:t>
      </w:r>
      <w:r w:rsidRPr="00064A72">
        <w:rPr>
          <w:rFonts w:ascii="Times New Roman" w:hAnsi="Times New Roman" w:cs="Times New Roman"/>
          <w:b/>
          <w:i/>
        </w:rPr>
        <w:t xml:space="preserve"> </w:t>
      </w:r>
      <w:r w:rsidR="00995B61">
        <w:rPr>
          <w:rFonts w:ascii="Times New Roman" w:hAnsi="Times New Roman" w:cs="Times New Roman"/>
          <w:b/>
          <w:i/>
        </w:rPr>
        <w:t xml:space="preserve"> </w:t>
      </w:r>
      <w:r w:rsidR="00C41BC3">
        <w:rPr>
          <w:rFonts w:ascii="Times New Roman" w:hAnsi="Times New Roman" w:cs="Times New Roman"/>
          <w:b/>
          <w:i/>
        </w:rPr>
        <w:t>Analytic Tool</w:t>
      </w:r>
    </w:p>
    <w:tbl>
      <w:tblPr>
        <w:tblStyle w:val="TableGrid"/>
        <w:tblW w:w="0" w:type="auto"/>
        <w:tblLook w:val="04A0" w:firstRow="1" w:lastRow="0" w:firstColumn="1" w:lastColumn="0" w:noHBand="0" w:noVBand="1"/>
      </w:tblPr>
      <w:tblGrid>
        <w:gridCol w:w="6345"/>
        <w:gridCol w:w="5954"/>
      </w:tblGrid>
      <w:tr w:rsidR="003D61A5" w:rsidTr="003D61A5">
        <w:tc>
          <w:tcPr>
            <w:tcW w:w="12299" w:type="dxa"/>
            <w:gridSpan w:val="2"/>
          </w:tcPr>
          <w:p w:rsidR="003D61A5" w:rsidRDefault="00995B61" w:rsidP="00200EC4">
            <w:pPr>
              <w:spacing w:line="360" w:lineRule="auto"/>
              <w:jc w:val="both"/>
              <w:rPr>
                <w:rFonts w:ascii="Times New Roman" w:hAnsi="Times New Roman" w:cs="Times New Roman"/>
                <w:sz w:val="24"/>
                <w:szCs w:val="24"/>
              </w:rPr>
            </w:pPr>
            <w:r>
              <w:rPr>
                <w:rFonts w:ascii="Times New Roman" w:hAnsi="Times New Roman" w:cs="Times New Roman"/>
                <w:b/>
                <w:color w:val="4F81BD" w:themeColor="accent1"/>
                <w:sz w:val="24"/>
                <w:szCs w:val="24"/>
              </w:rPr>
              <w:t>Analytic Tool</w:t>
            </w:r>
            <w:r w:rsidR="003D61A5">
              <w:rPr>
                <w:rFonts w:ascii="Times New Roman" w:hAnsi="Times New Roman" w:cs="Times New Roman"/>
                <w:b/>
                <w:color w:val="4F81BD" w:themeColor="accent1"/>
                <w:sz w:val="24"/>
                <w:szCs w:val="24"/>
              </w:rPr>
              <w:t xml:space="preserve">: </w:t>
            </w:r>
            <w:r w:rsidR="001D186B">
              <w:rPr>
                <w:rFonts w:ascii="Times New Roman" w:hAnsi="Times New Roman" w:cs="Times New Roman"/>
                <w:b/>
                <w:color w:val="4F81BD" w:themeColor="accent1"/>
                <w:sz w:val="24"/>
                <w:szCs w:val="24"/>
              </w:rPr>
              <w:t>Lifelong learning</w:t>
            </w: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unclear or hard to understand? If so how would you suggest they be reformulated?</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of the questions did you find less relevant in your context? Why?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995B61">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Which questions of critical importance in your context are missing in the toolkits?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too demanding on data and information relative to the significance of the issue for ensuring quality education?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have preferred more and detailed question or were the set of questions in the toolkit adequate to discuss the issues in depth?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To what extent did this toolkit help you analyze the issues raised comprehensively?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kind of further support materials you would have needed for a more in-depth analysis?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How much time was allocated for the discussion of this toolkit? Would it have required more or less time and if so how much?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use this toolkit in the future? Is so, how often?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Default="003D61A5" w:rsidP="003D61A5"/>
    <w:p w:rsidR="003D61A5" w:rsidRPr="003D61A5" w:rsidRDefault="003D61A5" w:rsidP="003D61A5">
      <w:pPr>
        <w:jc w:val="center"/>
      </w:pPr>
      <w:r>
        <w:br w:type="page"/>
      </w:r>
      <w:r w:rsidRPr="009A6516">
        <w:rPr>
          <w:rFonts w:ascii="Times New Roman" w:hAnsi="Times New Roman" w:cs="Times New Roman"/>
          <w:b/>
          <w:sz w:val="24"/>
          <w:szCs w:val="24"/>
        </w:rPr>
        <w:lastRenderedPageBreak/>
        <w:t>Annex 3: Summative evaluation</w:t>
      </w:r>
      <w:r>
        <w:rPr>
          <w:rFonts w:ascii="Times New Roman" w:hAnsi="Times New Roman" w:cs="Times New Roman"/>
          <w:b/>
          <w:sz w:val="24"/>
          <w:szCs w:val="24"/>
        </w:rPr>
        <w:t xml:space="preserve"> of</w:t>
      </w:r>
      <w:r w:rsidRPr="009A6516">
        <w:rPr>
          <w:rFonts w:ascii="Times New Roman" w:hAnsi="Times New Roman" w:cs="Times New Roman"/>
          <w:b/>
          <w:sz w:val="24"/>
          <w:szCs w:val="24"/>
        </w:rPr>
        <w:t xml:space="preserve"> GEQAF and the guidelines for piloting</w:t>
      </w:r>
    </w:p>
    <w:p w:rsidR="003D61A5" w:rsidRPr="009A6516" w:rsidRDefault="003D61A5" w:rsidP="003D61A5">
      <w:pPr>
        <w:rPr>
          <w:rFonts w:ascii="Times New Roman" w:hAnsi="Times New Roman" w:cs="Times New Roman"/>
          <w:b/>
          <w:sz w:val="24"/>
          <w:szCs w:val="24"/>
        </w:rPr>
      </w:pPr>
    </w:p>
    <w:p w:rsidR="003D61A5" w:rsidRDefault="003D61A5" w:rsidP="003D61A5">
      <w:r>
        <w:t>To be completed by the pilot Core Team with inputs from Heads of Departments and/or agencies</w:t>
      </w:r>
    </w:p>
    <w:tbl>
      <w:tblPr>
        <w:tblStyle w:val="TableGrid"/>
        <w:tblW w:w="0" w:type="auto"/>
        <w:tblLook w:val="04A0" w:firstRow="1" w:lastRow="0" w:firstColumn="1" w:lastColumn="0" w:noHBand="0" w:noVBand="1"/>
      </w:tblPr>
      <w:tblGrid>
        <w:gridCol w:w="5778"/>
        <w:gridCol w:w="6521"/>
      </w:tblGrid>
      <w:tr w:rsidR="003D61A5" w:rsidRPr="00064A72" w:rsidTr="00D60A94">
        <w:tc>
          <w:tcPr>
            <w:tcW w:w="12299" w:type="dxa"/>
            <w:gridSpan w:val="2"/>
          </w:tcPr>
          <w:p w:rsidR="003D61A5" w:rsidRPr="00064A72" w:rsidRDefault="003D61A5" w:rsidP="00557F0F">
            <w:pPr>
              <w:spacing w:line="360" w:lineRule="auto"/>
              <w:jc w:val="both"/>
              <w:rPr>
                <w:rFonts w:ascii="Times New Roman" w:hAnsi="Times New Roman" w:cs="Times New Roman"/>
                <w:sz w:val="20"/>
                <w:szCs w:val="20"/>
              </w:rPr>
            </w:pPr>
            <w:r w:rsidRPr="00064A72">
              <w:rPr>
                <w:rFonts w:ascii="Times New Roman" w:hAnsi="Times New Roman" w:cs="Times New Roman"/>
                <w:b/>
                <w:color w:val="4F81BD" w:themeColor="accent1"/>
                <w:sz w:val="20"/>
                <w:szCs w:val="20"/>
              </w:rPr>
              <w:t>The procedure of implementation</w:t>
            </w: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significant adjustments did you make to the procedure suggested for piloting by UNESCO and why?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What further improvements to the UNESCO guideline and piloting instrument would you suggest?</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rPr>
          <w:cantSplit/>
        </w:trPr>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To what extent do you think the results from applying the UNESCO education quality framework have been worth the time and resources you have invested in the exercise?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Do you think you would use the framework </w:t>
            </w:r>
            <w:r w:rsidR="0023361A">
              <w:rPr>
                <w:rFonts w:ascii="Times New Roman" w:hAnsi="Times New Roman" w:cs="Times New Roman"/>
                <w:sz w:val="20"/>
                <w:szCs w:val="20"/>
              </w:rPr>
              <w:t xml:space="preserve">(or parts of it) </w:t>
            </w:r>
            <w:r w:rsidRPr="00064A72">
              <w:rPr>
                <w:rFonts w:ascii="Times New Roman" w:hAnsi="Times New Roman" w:cs="Times New Roman"/>
                <w:sz w:val="20"/>
                <w:szCs w:val="20"/>
              </w:rPr>
              <w:t>from time to time to check the pulse of your education system? If so, how often?</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What next steps were agreed or proposed to address major challenges identified during the diagnostic exercise?</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Who will be responsible and for what in following up on actions agreed or proposed</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Pr="00512CB2" w:rsidRDefault="003D61A5" w:rsidP="003D61A5">
      <w:pPr>
        <w:spacing w:line="360" w:lineRule="auto"/>
        <w:jc w:val="both"/>
        <w:rPr>
          <w:rFonts w:ascii="Times New Roman" w:hAnsi="Times New Roman" w:cs="Times New Roman"/>
          <w:sz w:val="24"/>
          <w:szCs w:val="24"/>
        </w:rPr>
      </w:pPr>
    </w:p>
    <w:p w:rsidR="00073CB8" w:rsidRDefault="00073CB8"/>
    <w:sectPr w:rsidR="00073CB8" w:rsidSect="003D61A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35" w:rsidRDefault="005E7735" w:rsidP="00E175EE">
      <w:pPr>
        <w:spacing w:after="0" w:line="240" w:lineRule="auto"/>
      </w:pPr>
      <w:r>
        <w:separator/>
      </w:r>
    </w:p>
  </w:endnote>
  <w:endnote w:type="continuationSeparator" w:id="0">
    <w:p w:rsidR="005E7735" w:rsidRDefault="005E7735" w:rsidP="00E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579158"/>
      <w:docPartObj>
        <w:docPartGallery w:val="Page Numbers (Bottom of Page)"/>
        <w:docPartUnique/>
      </w:docPartObj>
    </w:sdtPr>
    <w:sdtEndPr>
      <w:rPr>
        <w:noProof/>
      </w:rPr>
    </w:sdtEndPr>
    <w:sdtContent>
      <w:p w:rsidR="00557F0F" w:rsidRDefault="00FC4801">
        <w:pPr>
          <w:pStyle w:val="Footer"/>
          <w:jc w:val="right"/>
        </w:pPr>
        <w:r>
          <w:fldChar w:fldCharType="begin"/>
        </w:r>
        <w:r>
          <w:instrText xml:space="preserve"> PAGE   \* MERGEFORMAT </w:instrText>
        </w:r>
        <w:r>
          <w:fldChar w:fldCharType="separate"/>
        </w:r>
        <w:r w:rsidR="0074257B">
          <w:rPr>
            <w:noProof/>
          </w:rPr>
          <w:t>2</w:t>
        </w:r>
        <w:r>
          <w:rPr>
            <w:noProof/>
          </w:rPr>
          <w:fldChar w:fldCharType="end"/>
        </w:r>
      </w:p>
    </w:sdtContent>
  </w:sdt>
  <w:p w:rsidR="00557F0F" w:rsidRDefault="0055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35" w:rsidRDefault="005E7735" w:rsidP="00E175EE">
      <w:pPr>
        <w:spacing w:after="0" w:line="240" w:lineRule="auto"/>
      </w:pPr>
      <w:r>
        <w:separator/>
      </w:r>
    </w:p>
  </w:footnote>
  <w:footnote w:type="continuationSeparator" w:id="0">
    <w:p w:rsidR="005E7735" w:rsidRDefault="005E7735" w:rsidP="00E17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8D1"/>
    <w:multiLevelType w:val="hybridMultilevel"/>
    <w:tmpl w:val="F01E52C6"/>
    <w:lvl w:ilvl="0" w:tplc="0C544866">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845BFF"/>
    <w:multiLevelType w:val="hybridMultilevel"/>
    <w:tmpl w:val="E64CA32A"/>
    <w:lvl w:ilvl="0" w:tplc="0C544866">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9426D3"/>
    <w:multiLevelType w:val="hybridMultilevel"/>
    <w:tmpl w:val="58AE5ED6"/>
    <w:lvl w:ilvl="0" w:tplc="CEFE867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34E29"/>
    <w:multiLevelType w:val="hybridMultilevel"/>
    <w:tmpl w:val="735E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90DB2"/>
    <w:multiLevelType w:val="hybridMultilevel"/>
    <w:tmpl w:val="431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15B99"/>
    <w:multiLevelType w:val="hybridMultilevel"/>
    <w:tmpl w:val="A920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90100"/>
    <w:multiLevelType w:val="hybridMultilevel"/>
    <w:tmpl w:val="12D266F4"/>
    <w:lvl w:ilvl="0" w:tplc="AF143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285011"/>
    <w:multiLevelType w:val="hybridMultilevel"/>
    <w:tmpl w:val="767E4F8A"/>
    <w:lvl w:ilvl="0" w:tplc="D212A8DA">
      <w:start w:val="1"/>
      <w:numFmt w:val="decimal"/>
      <w:lvlText w:val="%1."/>
      <w:lvlJc w:val="left"/>
      <w:pPr>
        <w:ind w:left="360" w:hanging="360"/>
      </w:pPr>
      <w:rPr>
        <w:rFonts w:ascii="Times New Roman" w:hAnsi="Times New Roman" w:cs="Times New Roman"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EC5867"/>
    <w:multiLevelType w:val="hybridMultilevel"/>
    <w:tmpl w:val="9932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20A95"/>
    <w:multiLevelType w:val="hybridMultilevel"/>
    <w:tmpl w:val="767E4F8A"/>
    <w:lvl w:ilvl="0" w:tplc="D212A8DA">
      <w:start w:val="1"/>
      <w:numFmt w:val="decimal"/>
      <w:lvlText w:val="%1."/>
      <w:lvlJc w:val="left"/>
      <w:pPr>
        <w:ind w:left="360" w:hanging="360"/>
      </w:pPr>
      <w:rPr>
        <w:rFonts w:ascii="Times New Roman" w:hAnsi="Times New Roman" w:cs="Times New Roman"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F67A37"/>
    <w:multiLevelType w:val="hybridMultilevel"/>
    <w:tmpl w:val="CE5412AE"/>
    <w:lvl w:ilvl="0" w:tplc="17847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3C0BF2"/>
    <w:multiLevelType w:val="hybridMultilevel"/>
    <w:tmpl w:val="B412A96C"/>
    <w:lvl w:ilvl="0" w:tplc="509ABB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CB31B5"/>
    <w:multiLevelType w:val="hybridMultilevel"/>
    <w:tmpl w:val="67140510"/>
    <w:lvl w:ilvl="0" w:tplc="2A22B4D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E44EF"/>
    <w:multiLevelType w:val="hybridMultilevel"/>
    <w:tmpl w:val="A28A2306"/>
    <w:lvl w:ilvl="0" w:tplc="15C483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40F19"/>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ED0FBC"/>
    <w:multiLevelType w:val="hybridMultilevel"/>
    <w:tmpl w:val="972CD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DF3E42"/>
    <w:multiLevelType w:val="hybridMultilevel"/>
    <w:tmpl w:val="AFCA4B92"/>
    <w:lvl w:ilvl="0" w:tplc="1DB27A1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CE7252"/>
    <w:multiLevelType w:val="hybridMultilevel"/>
    <w:tmpl w:val="2B0CAF78"/>
    <w:lvl w:ilvl="0" w:tplc="AF143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D4021D"/>
    <w:multiLevelType w:val="hybridMultilevel"/>
    <w:tmpl w:val="4F4E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90428"/>
    <w:multiLevelType w:val="hybridMultilevel"/>
    <w:tmpl w:val="3674807E"/>
    <w:lvl w:ilvl="0" w:tplc="2A22B4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2FF0F54"/>
    <w:multiLevelType w:val="hybridMultilevel"/>
    <w:tmpl w:val="830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80706"/>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682A43"/>
    <w:multiLevelType w:val="hybridMultilevel"/>
    <w:tmpl w:val="2B0CAF78"/>
    <w:lvl w:ilvl="0" w:tplc="AF143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601E7F"/>
    <w:multiLevelType w:val="hybridMultilevel"/>
    <w:tmpl w:val="F08835EA"/>
    <w:lvl w:ilvl="0" w:tplc="342E3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04965BA"/>
    <w:multiLevelType w:val="hybridMultilevel"/>
    <w:tmpl w:val="1F9C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24E05"/>
    <w:multiLevelType w:val="hybridMultilevel"/>
    <w:tmpl w:val="C6180B1E"/>
    <w:lvl w:ilvl="0" w:tplc="CEFE86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B437B5C"/>
    <w:multiLevelType w:val="hybridMultilevel"/>
    <w:tmpl w:val="96EEA21E"/>
    <w:lvl w:ilvl="0" w:tplc="89C25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B44955"/>
    <w:multiLevelType w:val="hybridMultilevel"/>
    <w:tmpl w:val="2F52E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D70103"/>
    <w:multiLevelType w:val="hybridMultilevel"/>
    <w:tmpl w:val="5A9C8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4"/>
  </w:num>
  <w:num w:numId="3">
    <w:abstractNumId w:val="3"/>
  </w:num>
  <w:num w:numId="4">
    <w:abstractNumId w:val="5"/>
  </w:num>
  <w:num w:numId="5">
    <w:abstractNumId w:val="1"/>
  </w:num>
  <w:num w:numId="6">
    <w:abstractNumId w:val="7"/>
  </w:num>
  <w:num w:numId="7">
    <w:abstractNumId w:val="10"/>
  </w:num>
  <w:num w:numId="8">
    <w:abstractNumId w:val="23"/>
  </w:num>
  <w:num w:numId="9">
    <w:abstractNumId w:val="11"/>
  </w:num>
  <w:num w:numId="10">
    <w:abstractNumId w:val="26"/>
  </w:num>
  <w:num w:numId="11">
    <w:abstractNumId w:val="21"/>
  </w:num>
  <w:num w:numId="12">
    <w:abstractNumId w:val="14"/>
  </w:num>
  <w:num w:numId="13">
    <w:abstractNumId w:val="27"/>
  </w:num>
  <w:num w:numId="14">
    <w:abstractNumId w:val="9"/>
  </w:num>
  <w:num w:numId="15">
    <w:abstractNumId w:val="24"/>
  </w:num>
  <w:num w:numId="16">
    <w:abstractNumId w:val="18"/>
  </w:num>
  <w:num w:numId="17">
    <w:abstractNumId w:val="8"/>
  </w:num>
  <w:num w:numId="18">
    <w:abstractNumId w:val="15"/>
  </w:num>
  <w:num w:numId="19">
    <w:abstractNumId w:val="16"/>
  </w:num>
  <w:num w:numId="20">
    <w:abstractNumId w:val="0"/>
  </w:num>
  <w:num w:numId="21">
    <w:abstractNumId w:val="28"/>
  </w:num>
  <w:num w:numId="22">
    <w:abstractNumId w:val="12"/>
  </w:num>
  <w:num w:numId="23">
    <w:abstractNumId w:val="19"/>
  </w:num>
  <w:num w:numId="24">
    <w:abstractNumId w:val="2"/>
  </w:num>
  <w:num w:numId="25">
    <w:abstractNumId w:val="6"/>
  </w:num>
  <w:num w:numId="26">
    <w:abstractNumId w:val="25"/>
  </w:num>
  <w:num w:numId="27">
    <w:abstractNumId w:val="17"/>
  </w:num>
  <w:num w:numId="28">
    <w:abstractNumId w:val="13"/>
  </w:num>
  <w:num w:numId="29">
    <w:abstractNumId w:val="2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A5"/>
    <w:rsid w:val="00006FFC"/>
    <w:rsid w:val="00073CB8"/>
    <w:rsid w:val="00086990"/>
    <w:rsid w:val="00117D43"/>
    <w:rsid w:val="00165253"/>
    <w:rsid w:val="00165776"/>
    <w:rsid w:val="00167FCE"/>
    <w:rsid w:val="001D186B"/>
    <w:rsid w:val="00200EC4"/>
    <w:rsid w:val="0022589C"/>
    <w:rsid w:val="002326BD"/>
    <w:rsid w:val="0023361A"/>
    <w:rsid w:val="002D675C"/>
    <w:rsid w:val="00347539"/>
    <w:rsid w:val="00361909"/>
    <w:rsid w:val="003B524F"/>
    <w:rsid w:val="003D61A5"/>
    <w:rsid w:val="00425E16"/>
    <w:rsid w:val="004751EC"/>
    <w:rsid w:val="004D345A"/>
    <w:rsid w:val="0052073C"/>
    <w:rsid w:val="00550893"/>
    <w:rsid w:val="00557F0F"/>
    <w:rsid w:val="005E43CE"/>
    <w:rsid w:val="005E7735"/>
    <w:rsid w:val="00663B73"/>
    <w:rsid w:val="0074257B"/>
    <w:rsid w:val="008F522A"/>
    <w:rsid w:val="0098434F"/>
    <w:rsid w:val="00995B61"/>
    <w:rsid w:val="00A61132"/>
    <w:rsid w:val="00AC5535"/>
    <w:rsid w:val="00B42B74"/>
    <w:rsid w:val="00C31251"/>
    <w:rsid w:val="00C41BC3"/>
    <w:rsid w:val="00D60A94"/>
    <w:rsid w:val="00E175EE"/>
    <w:rsid w:val="00F41CAA"/>
    <w:rsid w:val="00FC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1189</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Godana, Tekaligne</dc:creator>
  <cp:lastModifiedBy>Godana, Tekaligne</cp:lastModifiedBy>
  <cp:revision>2</cp:revision>
  <dcterms:created xsi:type="dcterms:W3CDTF">2012-04-12T15:45:00Z</dcterms:created>
  <dcterms:modified xsi:type="dcterms:W3CDTF">2012-04-12T15:45:00Z</dcterms:modified>
</cp:coreProperties>
</file>